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A77" w:rsidRPr="00467F92" w:rsidRDefault="00A73A77" w:rsidP="00A73A77">
      <w:pPr>
        <w:tabs>
          <w:tab w:val="left" w:pos="375"/>
        </w:tabs>
        <w:jc w:val="center"/>
        <w:rPr>
          <w:rFonts w:ascii="Calibri" w:hAnsi="Calibri" w:cs="Arial"/>
          <w:b/>
          <w:color w:val="1D1B11" w:themeColor="background2" w:themeShade="1A"/>
          <w:sz w:val="22"/>
          <w:szCs w:val="22"/>
        </w:rPr>
      </w:pPr>
      <w:r w:rsidRPr="00467F92">
        <w:rPr>
          <w:rFonts w:ascii="Calibri" w:hAnsi="Calibri" w:cs="Arial"/>
          <w:b/>
          <w:color w:val="1D1B11" w:themeColor="background2" w:themeShade="1A"/>
          <w:sz w:val="22"/>
          <w:szCs w:val="22"/>
        </w:rPr>
        <w:t>REUNIÓN</w:t>
      </w:r>
    </w:p>
    <w:p w:rsidR="00A73A77" w:rsidRPr="00467F92" w:rsidRDefault="00772F3A" w:rsidP="00A73A77">
      <w:pPr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</w:pPr>
      <w:r w:rsidRPr="00467F92">
        <w:rPr>
          <w:rFonts w:ascii="Calibri" w:hAnsi="Calibri" w:cs="Arial"/>
          <w:b/>
          <w:bCs/>
          <w:noProof/>
          <w:color w:val="1D1B11" w:themeColor="background2" w:themeShade="1A"/>
          <w:sz w:val="22"/>
          <w:szCs w:val="22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4968240</wp:posOffset>
            </wp:positionH>
            <wp:positionV relativeFrom="paragraph">
              <wp:posOffset>31115</wp:posOffset>
            </wp:positionV>
            <wp:extent cx="752475" cy="752475"/>
            <wp:effectExtent l="19050" t="0" r="9525" b="0"/>
            <wp:wrapNone/>
            <wp:docPr id="3" name="Imagen 3" descr="C:\Users\Fam Rico Tierrafría\AppData\Local\Microsoft\Windows\Temporary Internet Files\Content.IE5\GYKNONN9\MC900019306[1].wm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m Rico Tierrafría\AppData\Local\Microsoft\Windows\Temporary Internet Files\Content.IE5\GYKNONN9\MC90001930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A77" w:rsidRPr="00467F92" w:rsidRDefault="00346199" w:rsidP="00A73A77">
      <w:pPr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</w:pPr>
      <w:r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>Fecha: 3 de Mayo del 2012</w:t>
      </w:r>
    </w:p>
    <w:p w:rsidR="00A73A77" w:rsidRPr="00467F92" w:rsidRDefault="00FF29B6" w:rsidP="00772F3A">
      <w:pPr>
        <w:tabs>
          <w:tab w:val="left" w:pos="6390"/>
        </w:tabs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</w:pPr>
      <w:r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>Hora: 08:0</w:t>
      </w:r>
      <w:r w:rsidR="00A73A77" w:rsidRPr="00467F92"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>0 hrs</w:t>
      </w:r>
      <w:r w:rsidR="00772F3A" w:rsidRPr="00467F92">
        <w:rPr>
          <w:rFonts w:ascii="Calibri" w:hAnsi="Calibri" w:cs="Arial"/>
          <w:b/>
          <w:bCs/>
          <w:color w:val="1D1B11" w:themeColor="background2" w:themeShade="1A"/>
          <w:sz w:val="22"/>
          <w:szCs w:val="22"/>
        </w:rPr>
        <w:tab/>
      </w:r>
    </w:p>
    <w:p w:rsidR="00A73A77" w:rsidRPr="00467F92" w:rsidRDefault="00A73A77" w:rsidP="00A73A77">
      <w:pPr>
        <w:rPr>
          <w:rFonts w:ascii="Calibri" w:hAnsi="Calibri" w:cs="Arial"/>
          <w:b/>
          <w:color w:val="1D1B11" w:themeColor="background2" w:themeShade="1A"/>
          <w:sz w:val="22"/>
          <w:szCs w:val="22"/>
        </w:rPr>
      </w:pPr>
      <w:r w:rsidRPr="00467F92">
        <w:rPr>
          <w:rFonts w:ascii="Calibri" w:hAnsi="Calibri" w:cs="Arial"/>
          <w:b/>
          <w:color w:val="1D1B11" w:themeColor="background2" w:themeShade="1A"/>
          <w:sz w:val="22"/>
          <w:szCs w:val="22"/>
        </w:rPr>
        <w:t xml:space="preserve">Sede: </w:t>
      </w:r>
      <w:r w:rsidR="00376890">
        <w:rPr>
          <w:rFonts w:ascii="Calibri" w:hAnsi="Calibri" w:cs="Arial"/>
          <w:b/>
          <w:color w:val="1D1B11" w:themeColor="background2" w:themeShade="1A"/>
          <w:sz w:val="22"/>
          <w:szCs w:val="22"/>
        </w:rPr>
        <w:t xml:space="preserve">Héroe de Nacozari Sala de Medios </w:t>
      </w:r>
    </w:p>
    <w:p w:rsidR="00A73A77" w:rsidRPr="00467F92" w:rsidRDefault="009D7B17" w:rsidP="00A73A77">
      <w:pPr>
        <w:rPr>
          <w:rFonts w:ascii="Calibri" w:hAnsi="Calibri" w:cs="Arial"/>
          <w:b/>
          <w:color w:val="1D1B11" w:themeColor="background2" w:themeShade="1A"/>
          <w:sz w:val="22"/>
          <w:szCs w:val="22"/>
        </w:rPr>
      </w:pPr>
      <w:r>
        <w:rPr>
          <w:rFonts w:ascii="Calibri" w:hAnsi="Calibri" w:cs="Arial"/>
          <w:b/>
          <w:color w:val="1D1B11" w:themeColor="background2" w:themeShade="1A"/>
          <w:sz w:val="22"/>
          <w:szCs w:val="22"/>
        </w:rPr>
        <w:t xml:space="preserve">Domicilio: </w:t>
      </w:r>
      <w:r w:rsidR="000658C4">
        <w:rPr>
          <w:rFonts w:ascii="Calibri" w:hAnsi="Calibri" w:cs="Arial"/>
          <w:b/>
          <w:color w:val="1D1B11" w:themeColor="background2" w:themeShade="1A"/>
          <w:sz w:val="22"/>
          <w:szCs w:val="22"/>
        </w:rPr>
        <w:t>Av. Tecnológico No. 21 Colonia Ferrocarrilera</w:t>
      </w:r>
    </w:p>
    <w:p w:rsidR="00A73A77" w:rsidRPr="00467F92" w:rsidRDefault="00A73A77" w:rsidP="009F5D07">
      <w:pPr>
        <w:jc w:val="center"/>
        <w:rPr>
          <w:rFonts w:ascii="Calibri" w:hAnsi="Calibri" w:cs="Arial"/>
          <w:b/>
          <w:color w:val="1D1B11" w:themeColor="background2" w:themeShade="1A"/>
          <w:sz w:val="22"/>
          <w:szCs w:val="22"/>
          <w:u w:val="single"/>
        </w:rPr>
      </w:pPr>
      <w:r w:rsidRPr="00467F92">
        <w:rPr>
          <w:rFonts w:ascii="Calibri" w:hAnsi="Calibri" w:cs="Arial"/>
          <w:b/>
          <w:color w:val="1D1B11" w:themeColor="background2" w:themeShade="1A"/>
          <w:sz w:val="22"/>
          <w:szCs w:val="22"/>
          <w:u w:val="single"/>
        </w:rPr>
        <w:t>AGENDA DE  TRABAJO</w:t>
      </w:r>
    </w:p>
    <w:p w:rsidR="00A73A77" w:rsidRPr="00992166" w:rsidRDefault="00A73A77" w:rsidP="009F5D07">
      <w:pPr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 xml:space="preserve">Bienvenida. </w:t>
      </w:r>
    </w:p>
    <w:p w:rsidR="00467F92" w:rsidRPr="00992166" w:rsidRDefault="00467F92" w:rsidP="00467F92">
      <w:pPr>
        <w:ind w:left="720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</w:p>
    <w:p w:rsidR="00A73A77" w:rsidRPr="00992166" w:rsidRDefault="00A73A77" w:rsidP="00A73A77">
      <w:pPr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>Propósito de la Reunión:</w:t>
      </w:r>
    </w:p>
    <w:p w:rsidR="00A73A77" w:rsidRPr="00992166" w:rsidRDefault="00A73A77" w:rsidP="009F5D07">
      <w:pPr>
        <w:ind w:left="720"/>
        <w:rPr>
          <w:rFonts w:ascii="Calibri" w:hAnsi="Calibri" w:cs="Arial"/>
          <w:i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i/>
          <w:color w:val="1D1B11" w:themeColor="background2" w:themeShade="1A"/>
          <w:sz w:val="20"/>
          <w:szCs w:val="20"/>
        </w:rPr>
        <w:t>“Atender asuntos de carácter pedagógico y administrativo, así como el desarrollo de la temática de las comisiones técnico consultivo de la zona”</w:t>
      </w:r>
    </w:p>
    <w:p w:rsidR="00467F92" w:rsidRPr="00992166" w:rsidRDefault="00467F92" w:rsidP="00467F92">
      <w:pPr>
        <w:rPr>
          <w:rFonts w:ascii="Calibri" w:hAnsi="Calibri" w:cs="Arial"/>
          <w:i/>
          <w:color w:val="1D1B11" w:themeColor="background2" w:themeShade="1A"/>
          <w:sz w:val="20"/>
          <w:szCs w:val="20"/>
        </w:rPr>
      </w:pPr>
    </w:p>
    <w:p w:rsidR="00A73A77" w:rsidRPr="00992166" w:rsidRDefault="00A73A77" w:rsidP="009F5D07">
      <w:pPr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>Pase de Lista.</w:t>
      </w:r>
    </w:p>
    <w:p w:rsidR="00467F92" w:rsidRPr="00992166" w:rsidRDefault="00467F92" w:rsidP="00467F92">
      <w:pPr>
        <w:ind w:left="720"/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</w:p>
    <w:p w:rsidR="00A73A77" w:rsidRPr="00992166" w:rsidRDefault="00A73A77" w:rsidP="00A73A77">
      <w:pPr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>Lectura del Acta de Asamblea Anterior</w:t>
      </w:r>
    </w:p>
    <w:p w:rsidR="00467F92" w:rsidRPr="00992166" w:rsidRDefault="00467F92" w:rsidP="00467F92">
      <w:p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</w:p>
    <w:p w:rsidR="00A73A77" w:rsidRDefault="00A73A77" w:rsidP="00315733">
      <w:pPr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b/>
          <w:color w:val="1D1B11" w:themeColor="background2" w:themeShade="1A"/>
          <w:sz w:val="20"/>
          <w:szCs w:val="20"/>
        </w:rPr>
        <w:t>Participación de las comisiones</w:t>
      </w:r>
    </w:p>
    <w:p w:rsidR="00CA3FFE" w:rsidRPr="00992166" w:rsidRDefault="00CA3FFE" w:rsidP="00CA3FFE">
      <w:p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</w:p>
    <w:p w:rsidR="00A73A77" w:rsidRPr="00992166" w:rsidRDefault="00A73A77" w:rsidP="00A73A77">
      <w:pPr>
        <w:numPr>
          <w:ilvl w:val="0"/>
          <w:numId w:val="2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color w:val="1D1B11" w:themeColor="background2" w:themeShade="1A"/>
          <w:sz w:val="20"/>
          <w:szCs w:val="20"/>
        </w:rPr>
        <w:t>Técnico Administrativa</w:t>
      </w:r>
    </w:p>
    <w:p w:rsidR="002C7F93" w:rsidRDefault="00467F92" w:rsidP="00A73A77">
      <w:pPr>
        <w:numPr>
          <w:ilvl w:val="0"/>
          <w:numId w:val="2"/>
        </w:numPr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color w:val="1D1B11" w:themeColor="background2" w:themeShade="1A"/>
          <w:sz w:val="20"/>
          <w:szCs w:val="20"/>
        </w:rPr>
        <w:t>Técnico Pedagógica</w:t>
      </w:r>
    </w:p>
    <w:p w:rsidR="00CA3FFE" w:rsidRPr="00346199" w:rsidRDefault="00CA3FFE" w:rsidP="00CA3FFE">
      <w:pPr>
        <w:pStyle w:val="Prrafodelista"/>
        <w:numPr>
          <w:ilvl w:val="0"/>
          <w:numId w:val="1"/>
        </w:numPr>
        <w:rPr>
          <w:rFonts w:ascii="Calibri" w:hAnsi="Calibri" w:cs="Arial"/>
          <w:b/>
          <w:color w:val="1D1B11" w:themeColor="background2" w:themeShade="1A"/>
          <w:sz w:val="20"/>
          <w:szCs w:val="20"/>
        </w:rPr>
      </w:pPr>
      <w:r w:rsidRPr="00346199">
        <w:rPr>
          <w:rFonts w:ascii="Calibri" w:hAnsi="Calibri" w:cs="Arial"/>
          <w:b/>
          <w:color w:val="1D1B11" w:themeColor="background2" w:themeShade="1A"/>
          <w:sz w:val="20"/>
          <w:szCs w:val="20"/>
        </w:rPr>
        <w:t>Asuntos Generales:</w:t>
      </w:r>
    </w:p>
    <w:p w:rsidR="007A6E1E" w:rsidRPr="00C4756D" w:rsidRDefault="00346199" w:rsidP="003461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 xml:space="preserve">Orientación sobre el uso y </w:t>
      </w:r>
      <w:proofErr w:type="spellStart"/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requisitación</w:t>
      </w:r>
      <w:proofErr w:type="spellEnd"/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 xml:space="preserve"> de los formatos oficiales de las actas de entrega-recepción. (Hay modificaciones y las deben elaborar los directores)</w:t>
      </w:r>
    </w:p>
    <w:p w:rsidR="00346199" w:rsidRPr="00C4756D" w:rsidRDefault="00346199" w:rsidP="003461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Colecta Nacional de Cruz Roja mexicana.</w:t>
      </w:r>
      <w:r w:rsidR="00C4756D"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 xml:space="preserve"> (2 de Mayo 2012)</w:t>
      </w:r>
    </w:p>
    <w:p w:rsidR="00346199" w:rsidRPr="00C4756D" w:rsidRDefault="00346199" w:rsidP="003461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Establecimiento Escolar de Consumo (28 de Mayo 2012)</w:t>
      </w:r>
    </w:p>
    <w:p w:rsidR="00346199" w:rsidRPr="00C4756D" w:rsidRDefault="00346199" w:rsidP="003461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Revisar documentos acuerdo 592 y Programas de estudio 2011.</w:t>
      </w:r>
    </w:p>
    <w:p w:rsidR="00346199" w:rsidRPr="00C4756D" w:rsidRDefault="00346199" w:rsidP="003461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Comparativo de Análisis de ENLACE</w:t>
      </w:r>
      <w:r w:rsidR="001F5690"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 xml:space="preserve"> (Checar escuelas focalizadas Constancia, Perales y Juan </w:t>
      </w:r>
      <w:proofErr w:type="spellStart"/>
      <w:r w:rsidR="001F5690"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Escutía</w:t>
      </w:r>
      <w:proofErr w:type="spellEnd"/>
      <w:r w:rsidR="001F5690"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)</w:t>
      </w:r>
    </w:p>
    <w:p w:rsidR="00346199" w:rsidRPr="00C4756D" w:rsidRDefault="001F5690" w:rsidP="003461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 xml:space="preserve">Plan de intervenciones  de las acciones de la RIEB (Elaborarlo de las asignaturas de </w:t>
      </w:r>
      <w:proofErr w:type="spellStart"/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Españo</w:t>
      </w:r>
      <w:proofErr w:type="spellEnd"/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 xml:space="preserve">, Matemáticas por cada escuela director responsable Acciones para próximo </w:t>
      </w:r>
      <w:proofErr w:type="spellStart"/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cilo</w:t>
      </w:r>
      <w:proofErr w:type="spellEnd"/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 xml:space="preserve"> escolar 2012-2013 Entrega 9 de May0 2012)</w:t>
      </w:r>
    </w:p>
    <w:p w:rsidR="001F5690" w:rsidRPr="00C4756D" w:rsidRDefault="001F5690" w:rsidP="003461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Circular DEP/001/2012 Instructivo Viajes de Estudio</w:t>
      </w:r>
    </w:p>
    <w:p w:rsidR="001F5690" w:rsidRPr="00C4756D" w:rsidRDefault="00CC5799" w:rsidP="003461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 xml:space="preserve">El niño y la Mar Hacer oficio por escuela </w:t>
      </w:r>
      <w:proofErr w:type="spellStart"/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cuantos</w:t>
      </w:r>
      <w:proofErr w:type="spellEnd"/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 xml:space="preserve"> niños participan y entregar 3 primeros lugares a la oficina antes de la fecha del 1 de junio 2012)</w:t>
      </w:r>
    </w:p>
    <w:p w:rsidR="00CC5799" w:rsidRPr="00C4756D" w:rsidRDefault="00CC5799" w:rsidP="00CC57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Seguimiento Académico (Diapositivas)</w:t>
      </w:r>
    </w:p>
    <w:p w:rsidR="00CC5799" w:rsidRPr="00C4756D" w:rsidRDefault="00CC5799" w:rsidP="00CC57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Solicitar a inventarios las etiquetas de los inmuebles que existen en las escuelas y estar al pendiente de que se realice esta revisión.</w:t>
      </w:r>
    </w:p>
    <w:p w:rsidR="00CC5799" w:rsidRPr="00C4756D" w:rsidRDefault="00C4756D" w:rsidP="00CC57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Revisar los materiales de ENL</w:t>
      </w:r>
      <w:r w:rsidR="00CC5799"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ACE de 3° a 6° para ver funcionalidad y propuestas.</w:t>
      </w:r>
    </w:p>
    <w:p w:rsidR="00CC5799" w:rsidRPr="00C4756D" w:rsidRDefault="00CC5799" w:rsidP="00CC57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Planeación de campos formativos y evaluación en cada área o asignatura. (Aprendizajes esperados)</w:t>
      </w:r>
    </w:p>
    <w:p w:rsidR="00C4756D" w:rsidRPr="00C4756D" w:rsidRDefault="00C4756D" w:rsidP="00CC5799">
      <w:pPr>
        <w:pStyle w:val="Prrafodelista"/>
        <w:numPr>
          <w:ilvl w:val="0"/>
          <w:numId w:val="8"/>
        </w:numPr>
        <w:rPr>
          <w:rFonts w:ascii="Calibri" w:hAnsi="Calibri" w:cs="Arial"/>
          <w:color w:val="1D1B11" w:themeColor="background2" w:themeShade="1A"/>
          <w:sz w:val="22"/>
          <w:szCs w:val="22"/>
        </w:rPr>
      </w:pPr>
      <w:r w:rsidRPr="00C4756D">
        <w:rPr>
          <w:rFonts w:ascii="Calibri" w:hAnsi="Calibri" w:cs="Arial"/>
          <w:color w:val="1D1B11" w:themeColor="background2" w:themeShade="1A"/>
          <w:sz w:val="22"/>
          <w:szCs w:val="22"/>
        </w:rPr>
        <w:t>Calificaciones 4° Bimestre (9 de Mayo 2012)</w:t>
      </w:r>
    </w:p>
    <w:p w:rsidR="00467F92" w:rsidRPr="00992166" w:rsidRDefault="00467F92" w:rsidP="00467F92">
      <w:pPr>
        <w:rPr>
          <w:rFonts w:ascii="Calibri" w:hAnsi="Calibri" w:cs="Arial"/>
          <w:color w:val="1D1B11" w:themeColor="background2" w:themeShade="1A"/>
          <w:sz w:val="20"/>
          <w:szCs w:val="20"/>
        </w:rPr>
      </w:pPr>
    </w:p>
    <w:p w:rsidR="00315733" w:rsidRPr="00992166" w:rsidRDefault="00315733" w:rsidP="00467F92">
      <w:pPr>
        <w:rPr>
          <w:rFonts w:ascii="Calibri" w:hAnsi="Calibri" w:cs="Arial"/>
          <w:color w:val="1D1B11" w:themeColor="background2" w:themeShade="1A"/>
          <w:sz w:val="20"/>
          <w:szCs w:val="20"/>
        </w:rPr>
      </w:pPr>
    </w:p>
    <w:p w:rsidR="0022430D" w:rsidRPr="00992166" w:rsidRDefault="0022430D" w:rsidP="0022430D">
      <w:pPr>
        <w:ind w:left="360"/>
        <w:jc w:val="center"/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color w:val="1D1B11" w:themeColor="background2" w:themeShade="1A"/>
          <w:sz w:val="20"/>
          <w:szCs w:val="20"/>
        </w:rPr>
        <w:t>A T E N T A M E N T E</w:t>
      </w:r>
    </w:p>
    <w:p w:rsidR="00F90D0C" w:rsidRDefault="00F90D0C" w:rsidP="009F5D07">
      <w:pPr>
        <w:rPr>
          <w:rFonts w:ascii="Calibri" w:hAnsi="Calibri" w:cs="Arial"/>
          <w:color w:val="1D1B11" w:themeColor="background2" w:themeShade="1A"/>
          <w:sz w:val="20"/>
          <w:szCs w:val="20"/>
        </w:rPr>
      </w:pPr>
    </w:p>
    <w:p w:rsidR="00992166" w:rsidRDefault="00992166" w:rsidP="009F5D07">
      <w:pPr>
        <w:rPr>
          <w:rFonts w:ascii="Calibri" w:hAnsi="Calibri" w:cs="Arial"/>
          <w:color w:val="1D1B11" w:themeColor="background2" w:themeShade="1A"/>
          <w:sz w:val="20"/>
          <w:szCs w:val="20"/>
        </w:rPr>
      </w:pPr>
    </w:p>
    <w:p w:rsidR="002C7F93" w:rsidRPr="00992166" w:rsidRDefault="002C7F93" w:rsidP="009F5D07">
      <w:pPr>
        <w:rPr>
          <w:rFonts w:ascii="Calibri" w:hAnsi="Calibri" w:cs="Arial"/>
          <w:color w:val="1D1B11" w:themeColor="background2" w:themeShade="1A"/>
          <w:sz w:val="20"/>
          <w:szCs w:val="20"/>
        </w:rPr>
      </w:pPr>
    </w:p>
    <w:p w:rsidR="0022430D" w:rsidRPr="00992166" w:rsidRDefault="0022430D" w:rsidP="0022430D">
      <w:pPr>
        <w:ind w:left="360"/>
        <w:jc w:val="center"/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color w:val="1D1B11" w:themeColor="background2" w:themeShade="1A"/>
          <w:sz w:val="20"/>
          <w:szCs w:val="20"/>
        </w:rPr>
        <w:t xml:space="preserve">SILVIA HERNÁNDEZ </w:t>
      </w:r>
      <w:proofErr w:type="spellStart"/>
      <w:r w:rsidRPr="00992166">
        <w:rPr>
          <w:rFonts w:ascii="Calibri" w:hAnsi="Calibri" w:cs="Arial"/>
          <w:color w:val="1D1B11" w:themeColor="background2" w:themeShade="1A"/>
          <w:sz w:val="20"/>
          <w:szCs w:val="20"/>
        </w:rPr>
        <w:t>HERNÁNDEZ</w:t>
      </w:r>
      <w:proofErr w:type="spellEnd"/>
    </w:p>
    <w:p w:rsidR="00502994" w:rsidRPr="00992166" w:rsidRDefault="0022430D" w:rsidP="009F5D07">
      <w:pPr>
        <w:ind w:left="360"/>
        <w:jc w:val="center"/>
        <w:rPr>
          <w:rFonts w:ascii="Calibri" w:hAnsi="Calibri" w:cs="Arial"/>
          <w:color w:val="1D1B11" w:themeColor="background2" w:themeShade="1A"/>
          <w:sz w:val="20"/>
          <w:szCs w:val="20"/>
        </w:rPr>
      </w:pPr>
      <w:r w:rsidRPr="00992166">
        <w:rPr>
          <w:rFonts w:ascii="Calibri" w:hAnsi="Calibri" w:cs="Arial"/>
          <w:color w:val="1D1B11" w:themeColor="background2" w:themeShade="1A"/>
          <w:sz w:val="20"/>
          <w:szCs w:val="20"/>
        </w:rPr>
        <w:t>SUPERVISORA ESCOLAR 086</w:t>
      </w:r>
    </w:p>
    <w:sectPr w:rsidR="00502994" w:rsidRPr="00992166" w:rsidSect="00502994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291" w:rsidRDefault="00474291" w:rsidP="00A73A77">
      <w:r>
        <w:separator/>
      </w:r>
    </w:p>
  </w:endnote>
  <w:endnote w:type="continuationSeparator" w:id="0">
    <w:p w:rsidR="00474291" w:rsidRDefault="00474291" w:rsidP="00A73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0D" w:rsidRPr="00147A64" w:rsidRDefault="00784E0B" w:rsidP="0022430D">
    <w:pPr>
      <w:pStyle w:val="Piedepgina"/>
      <w:rPr>
        <w:rFonts w:ascii="Arial" w:hAnsi="Arial" w:cs="Arial"/>
        <w:b/>
        <w:bCs/>
        <w:sz w:val="15"/>
        <w:szCs w:val="15"/>
      </w:rPr>
    </w:pPr>
    <w:r>
      <w:rPr>
        <w:rFonts w:ascii="Arial" w:hAnsi="Arial" w:cs="Arial"/>
        <w:b/>
        <w:bCs/>
        <w:noProof/>
        <w:sz w:val="15"/>
        <w:szCs w:val="15"/>
      </w:rPr>
      <w:pict>
        <v:line id="_x0000_s2052" style="position:absolute;z-index:251660288" from="-45.75pt,6.75pt" to="485.25pt,6.75pt" strokecolor="#090" strokeweight="3pt"/>
      </w:pict>
    </w:r>
  </w:p>
  <w:p w:rsidR="0022430D" w:rsidRPr="0022430D" w:rsidRDefault="0022430D" w:rsidP="0022430D">
    <w:pPr>
      <w:pStyle w:val="Piedepgina"/>
      <w:jc w:val="center"/>
      <w:rPr>
        <w:rFonts w:ascii="Arial" w:hAnsi="Arial" w:cs="Arial"/>
        <w:b/>
        <w:bCs/>
        <w:sz w:val="15"/>
        <w:szCs w:val="15"/>
      </w:rPr>
    </w:pPr>
    <w:r w:rsidRPr="00147A64">
      <w:rPr>
        <w:rFonts w:ascii="Arial" w:hAnsi="Arial" w:cs="Arial"/>
        <w:b/>
        <w:noProof/>
        <w:sz w:val="15"/>
        <w:szCs w:val="15"/>
      </w:rPr>
      <w:t>Av. Tecnologico No. 21, Col. Ferrocarrilera,  San Juan del Rio, Qro., C.P. 76800 Tel. 27 2 86 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291" w:rsidRDefault="00474291" w:rsidP="00A73A77">
      <w:r>
        <w:separator/>
      </w:r>
    </w:p>
  </w:footnote>
  <w:footnote w:type="continuationSeparator" w:id="0">
    <w:p w:rsidR="00474291" w:rsidRDefault="00474291" w:rsidP="00A73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A77" w:rsidRDefault="00784E0B">
    <w:pPr>
      <w:pStyle w:val="Encabezado"/>
    </w:pPr>
    <w:r>
      <w:rPr>
        <w:noProof/>
        <w:lang w:eastAsia="es-MX"/>
      </w:rPr>
      <w:pict>
        <v:group id="_x0000_s2049" style="position:absolute;margin-left:-33.3pt;margin-top:-26.5pt;width:519pt;height:53.25pt;z-index:251658240" coordorigin="1560,178" coordsize="9450,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3" o:spid="_x0000_s2050" type="#_x0000_t75" alt="Secretaria de educacion-SUB-COLORMem" style="position:absolute;left:1560;top:178;width:2160;height:960;visibility:visible">
            <v:imagedata r:id="rId1" o:title="Secretaria de educacion-SUB-COLORMem"/>
          </v:shape>
          <v:shape id="Imagen 4" o:spid="_x0000_s2051" type="#_x0000_t75" alt="logo USEBEQ" style="position:absolute;left:8715;top:178;width:2295;height:1065;visibility:visible">
            <v:imagedata r:id="rId2" o:title="logo USEBEQ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11.25pt;height:11.25pt" o:bullet="t">
        <v:imagedata r:id="rId1" o:title="mso4912"/>
      </v:shape>
    </w:pict>
  </w:numPicBullet>
  <w:numPicBullet w:numPicBulletId="1">
    <w:pict>
      <v:shape id="_x0000_i1095" type="#_x0000_t75" style="width:11.25pt;height:11.25pt" o:bullet="t">
        <v:imagedata r:id="rId2" o:title="mso520"/>
      </v:shape>
    </w:pict>
  </w:numPicBullet>
  <w:abstractNum w:abstractNumId="0">
    <w:nsid w:val="193B24F8"/>
    <w:multiLevelType w:val="hybridMultilevel"/>
    <w:tmpl w:val="FAE27946"/>
    <w:lvl w:ilvl="0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EC02DD"/>
    <w:multiLevelType w:val="hybridMultilevel"/>
    <w:tmpl w:val="126E6220"/>
    <w:lvl w:ilvl="0" w:tplc="080A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7639E"/>
    <w:multiLevelType w:val="hybridMultilevel"/>
    <w:tmpl w:val="BFF6F9A6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E255CB"/>
    <w:multiLevelType w:val="hybridMultilevel"/>
    <w:tmpl w:val="7B0A8B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86BAD"/>
    <w:multiLevelType w:val="hybridMultilevel"/>
    <w:tmpl w:val="BBF06248"/>
    <w:lvl w:ilvl="0" w:tplc="F20E99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A965E8E"/>
    <w:multiLevelType w:val="hybridMultilevel"/>
    <w:tmpl w:val="3DE2643E"/>
    <w:lvl w:ilvl="0" w:tplc="080A0007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EB5130"/>
    <w:multiLevelType w:val="hybridMultilevel"/>
    <w:tmpl w:val="E9CE039A"/>
    <w:lvl w:ilvl="0" w:tplc="08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B70E81"/>
    <w:multiLevelType w:val="hybridMultilevel"/>
    <w:tmpl w:val="13169DEE"/>
    <w:lvl w:ilvl="0" w:tplc="B55C23CE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3A77"/>
    <w:rsid w:val="00011DD6"/>
    <w:rsid w:val="000658C4"/>
    <w:rsid w:val="00070D94"/>
    <w:rsid w:val="000A425F"/>
    <w:rsid w:val="000D4C53"/>
    <w:rsid w:val="00165EEB"/>
    <w:rsid w:val="00176B64"/>
    <w:rsid w:val="00181D43"/>
    <w:rsid w:val="0018208E"/>
    <w:rsid w:val="001C5655"/>
    <w:rsid w:val="001C6C77"/>
    <w:rsid w:val="001D3AF0"/>
    <w:rsid w:val="001F5690"/>
    <w:rsid w:val="0022430D"/>
    <w:rsid w:val="00224DAC"/>
    <w:rsid w:val="0024047F"/>
    <w:rsid w:val="00250B4F"/>
    <w:rsid w:val="002C7F93"/>
    <w:rsid w:val="002D4398"/>
    <w:rsid w:val="002E47FE"/>
    <w:rsid w:val="00300B35"/>
    <w:rsid w:val="00315733"/>
    <w:rsid w:val="00346199"/>
    <w:rsid w:val="00373A94"/>
    <w:rsid w:val="00376890"/>
    <w:rsid w:val="00395C8E"/>
    <w:rsid w:val="003B58C6"/>
    <w:rsid w:val="003B7DAA"/>
    <w:rsid w:val="003E4570"/>
    <w:rsid w:val="00422E9D"/>
    <w:rsid w:val="00467F92"/>
    <w:rsid w:val="00474291"/>
    <w:rsid w:val="004F1EC7"/>
    <w:rsid w:val="00502994"/>
    <w:rsid w:val="00563140"/>
    <w:rsid w:val="0056716A"/>
    <w:rsid w:val="005F6FA7"/>
    <w:rsid w:val="006464BB"/>
    <w:rsid w:val="0066421B"/>
    <w:rsid w:val="006F01F4"/>
    <w:rsid w:val="00705BB1"/>
    <w:rsid w:val="00772F3A"/>
    <w:rsid w:val="00784E0B"/>
    <w:rsid w:val="007A6E1E"/>
    <w:rsid w:val="008356AF"/>
    <w:rsid w:val="00860E0C"/>
    <w:rsid w:val="00881AD6"/>
    <w:rsid w:val="008E5739"/>
    <w:rsid w:val="009749A8"/>
    <w:rsid w:val="00975523"/>
    <w:rsid w:val="00992166"/>
    <w:rsid w:val="009D7B17"/>
    <w:rsid w:val="009F5D07"/>
    <w:rsid w:val="00A01DB2"/>
    <w:rsid w:val="00A1116C"/>
    <w:rsid w:val="00A36F07"/>
    <w:rsid w:val="00A4054A"/>
    <w:rsid w:val="00A73A77"/>
    <w:rsid w:val="00B2421F"/>
    <w:rsid w:val="00B26943"/>
    <w:rsid w:val="00B4132E"/>
    <w:rsid w:val="00B648B9"/>
    <w:rsid w:val="00B832B8"/>
    <w:rsid w:val="00BF3925"/>
    <w:rsid w:val="00C067B3"/>
    <w:rsid w:val="00C4756D"/>
    <w:rsid w:val="00C774A2"/>
    <w:rsid w:val="00CA3FFE"/>
    <w:rsid w:val="00CA49F8"/>
    <w:rsid w:val="00CC5799"/>
    <w:rsid w:val="00D501DB"/>
    <w:rsid w:val="00D62624"/>
    <w:rsid w:val="00D67A97"/>
    <w:rsid w:val="00D807AF"/>
    <w:rsid w:val="00DA1233"/>
    <w:rsid w:val="00DA70ED"/>
    <w:rsid w:val="00DF62F2"/>
    <w:rsid w:val="00E122A7"/>
    <w:rsid w:val="00E80D7D"/>
    <w:rsid w:val="00E95DE9"/>
    <w:rsid w:val="00EB17F3"/>
    <w:rsid w:val="00F11319"/>
    <w:rsid w:val="00F5101E"/>
    <w:rsid w:val="00F90D0C"/>
    <w:rsid w:val="00FF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73A7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73A77"/>
  </w:style>
  <w:style w:type="paragraph" w:styleId="Piedepgina">
    <w:name w:val="footer"/>
    <w:basedOn w:val="Normal"/>
    <w:link w:val="PiedepginaCar"/>
    <w:uiPriority w:val="99"/>
    <w:semiHidden/>
    <w:unhideWhenUsed/>
    <w:rsid w:val="00A73A7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73A77"/>
  </w:style>
  <w:style w:type="paragraph" w:styleId="Prrafodelista">
    <w:name w:val="List Paragraph"/>
    <w:basedOn w:val="Normal"/>
    <w:uiPriority w:val="34"/>
    <w:qFormat/>
    <w:rsid w:val="00A73A7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D4C5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D4C53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2F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F3A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Fam%20Rico%20Tierrafr&#237;a\Documentos\Supervisi&#243;n%20086%20ciclo%2011-12%20Personal\Agendas%20de%20Trabajo\Carpeta%20Digital%20Reuni&#243;n%2028%20Octubre%202011\Cartel_Feria_del_Libro%5b1%5d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D4A61-2EF7-4E70-B958-997C2387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 Rico T.</dc:creator>
  <cp:lastModifiedBy>Fam. Rico T.</cp:lastModifiedBy>
  <cp:revision>4</cp:revision>
  <cp:lastPrinted>2012-05-02T14:01:00Z</cp:lastPrinted>
  <dcterms:created xsi:type="dcterms:W3CDTF">2012-05-02T13:57:00Z</dcterms:created>
  <dcterms:modified xsi:type="dcterms:W3CDTF">2012-05-02T14:01:00Z</dcterms:modified>
</cp:coreProperties>
</file>